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700" w:lineRule="exact"/>
        <w:ind w:firstLine="723" w:firstLineChars="200"/>
        <w:jc w:val="center"/>
        <w:rPr>
          <w:rFonts w:hint="eastAsia" w:ascii="黑体" w:hAnsi="黑体" w:eastAsia="黑体" w:cs="宋体"/>
          <w:b/>
          <w:kern w:val="0"/>
          <w:sz w:val="36"/>
          <w:szCs w:val="36"/>
        </w:rPr>
      </w:pPr>
      <w:r>
        <w:rPr>
          <w:rFonts w:hint="eastAsia" w:ascii="黑体" w:hAnsi="黑体" w:eastAsia="黑体" w:cs="宋体"/>
          <w:b/>
          <w:kern w:val="0"/>
          <w:sz w:val="36"/>
          <w:szCs w:val="36"/>
        </w:rPr>
        <w:t>新疆财政</w:t>
      </w:r>
      <w:bookmarkStart w:id="0" w:name="_Hlk532982692"/>
      <w:r>
        <w:rPr>
          <w:rFonts w:hint="eastAsia" w:ascii="黑体" w:hAnsi="黑体" w:eastAsia="黑体" w:cs="宋体"/>
          <w:b/>
          <w:kern w:val="0"/>
          <w:sz w:val="36"/>
          <w:szCs w:val="36"/>
        </w:rPr>
        <w:t>部门基本支出</w:t>
      </w:r>
      <w:bookmarkEnd w:id="0"/>
      <w:r>
        <w:rPr>
          <w:rFonts w:hint="eastAsia" w:ascii="黑体" w:hAnsi="黑体" w:eastAsia="黑体" w:cs="宋体"/>
          <w:b/>
          <w:kern w:val="0"/>
          <w:sz w:val="36"/>
          <w:szCs w:val="36"/>
        </w:rPr>
        <w:t>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（一）项目单位基本情况</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乌恰</w:t>
      </w:r>
      <w:r>
        <w:rPr>
          <w:rFonts w:hint="eastAsia" w:ascii="仿宋" w:hAnsi="仿宋" w:eastAsia="仿宋"/>
          <w:bCs/>
          <w:color w:val="000000" w:themeColor="text1"/>
          <w:spacing w:val="-4"/>
          <w:sz w:val="32"/>
          <w:szCs w:val="32"/>
          <w:lang w:eastAsia="zh-CN"/>
        </w:rPr>
        <w:t>镇</w:t>
      </w:r>
      <w:r>
        <w:rPr>
          <w:rFonts w:hint="eastAsia" w:ascii="仿宋" w:hAnsi="仿宋" w:eastAsia="仿宋"/>
          <w:bCs/>
          <w:color w:val="000000" w:themeColor="text1"/>
          <w:spacing w:val="-4"/>
          <w:sz w:val="32"/>
          <w:szCs w:val="32"/>
        </w:rPr>
        <w:t>位于秀丽的喀拉克山南麓，距喀什市75公里，总面积268平方公里，耕地面积5.2万亩，总人口3.</w:t>
      </w:r>
      <w:r>
        <w:rPr>
          <w:rFonts w:hint="eastAsia" w:ascii="仿宋" w:hAnsi="仿宋" w:eastAsia="仿宋"/>
          <w:bCs/>
          <w:color w:val="000000" w:themeColor="text1"/>
          <w:spacing w:val="-4"/>
          <w:sz w:val="32"/>
          <w:szCs w:val="32"/>
          <w:lang w:val="en-US" w:eastAsia="zh-CN"/>
        </w:rPr>
        <w:t>9</w:t>
      </w:r>
      <w:r>
        <w:rPr>
          <w:rFonts w:hint="eastAsia" w:ascii="仿宋" w:hAnsi="仿宋" w:eastAsia="仿宋"/>
          <w:bCs/>
          <w:color w:val="000000" w:themeColor="text1"/>
          <w:spacing w:val="-4"/>
          <w:sz w:val="32"/>
          <w:szCs w:val="32"/>
        </w:rPr>
        <w:t>万人。乌恰</w:t>
      </w:r>
      <w:r>
        <w:rPr>
          <w:rFonts w:hint="eastAsia" w:ascii="仿宋" w:hAnsi="仿宋" w:eastAsia="仿宋"/>
          <w:bCs/>
          <w:color w:val="000000" w:themeColor="text1"/>
          <w:spacing w:val="-4"/>
          <w:sz w:val="32"/>
          <w:szCs w:val="32"/>
          <w:lang w:eastAsia="zh-CN"/>
        </w:rPr>
        <w:t>镇</w:t>
      </w:r>
      <w:r>
        <w:rPr>
          <w:rFonts w:hint="eastAsia" w:ascii="仿宋" w:hAnsi="仿宋" w:eastAsia="仿宋"/>
          <w:bCs/>
          <w:color w:val="000000" w:themeColor="text1"/>
          <w:spacing w:val="-4"/>
          <w:sz w:val="32"/>
          <w:szCs w:val="32"/>
        </w:rPr>
        <w:t>土质肥沃，光照 资源丰富，自然条件得天独厚，农业以种植小麦、玉米、棉花、豌豆、小茴香等农作物为主，盛产色买提杏、巴旦木、西甜瓜、葡萄等干鲜果品。</w:t>
      </w:r>
    </w:p>
    <w:p>
      <w:pPr>
        <w:adjustRightInd w:val="0"/>
        <w:snapToGrid w:val="0"/>
        <w:spacing w:line="560" w:lineRule="exact"/>
        <w:ind w:firstLine="624" w:firstLineChars="200"/>
        <w:rPr>
          <w:rFonts w:hint="eastAsia"/>
          <w:color w:val="auto"/>
          <w:lang w:val="en-US" w:eastAsia="zh-CN"/>
        </w:rPr>
      </w:pPr>
      <w:r>
        <w:rPr>
          <w:rFonts w:hint="eastAsia" w:ascii="仿宋" w:hAnsi="仿宋" w:eastAsia="仿宋"/>
          <w:bCs/>
          <w:color w:val="000000" w:themeColor="text1"/>
          <w:spacing w:val="-4"/>
          <w:sz w:val="32"/>
          <w:szCs w:val="32"/>
        </w:rPr>
        <w:t>辖2</w:t>
      </w:r>
      <w:r>
        <w:rPr>
          <w:rFonts w:hint="eastAsia" w:ascii="仿宋" w:hAnsi="仿宋" w:eastAsia="仿宋"/>
          <w:bCs/>
          <w:color w:val="000000" w:themeColor="text1"/>
          <w:spacing w:val="-4"/>
          <w:sz w:val="32"/>
          <w:szCs w:val="32"/>
          <w:lang w:val="en-US" w:eastAsia="zh-CN"/>
        </w:rPr>
        <w:t>9</w:t>
      </w:r>
      <w:r>
        <w:rPr>
          <w:rFonts w:hint="eastAsia" w:ascii="仿宋" w:hAnsi="仿宋" w:eastAsia="仿宋"/>
          <w:bCs/>
          <w:color w:val="000000" w:themeColor="text1"/>
          <w:spacing w:val="-4"/>
          <w:sz w:val="32"/>
          <w:szCs w:val="32"/>
        </w:rPr>
        <w:t>个村委会：乌恰村、艾提木恰合热村、巴格艾日克村、其格勒艾日克村、库瓦什村、依买里村、 坡喀艾日克要地、阿克巴格村、巴依买里斯村、尤喀克台赛克村、阿亚克台赛克村、库其喀其巴格村、乌恰艾日克村、包孜洪巴希买里村、包孜洪村、吾台希村、阔纳萨拉甫村、英萨拉甫村、买金艾日克村、尤喀克亚巴格村、色日克托格拉克村、托万亚巴格村、达汗拉村、哈尼喀买里斯村、霍加勒克霍依拉村、阿亚格包孜洪村、尤喀克包孜洪村，139个村民小组</w:t>
      </w:r>
      <w:bookmarkStart w:id="1" w:name="_GoBack"/>
      <w:bookmarkEnd w:id="1"/>
      <w:r>
        <w:rPr>
          <w:rStyle w:val="18"/>
          <w:rFonts w:hint="eastAsia" w:ascii="仿宋" w:hAnsi="仿宋" w:eastAsia="仿宋"/>
          <w:b w:val="0"/>
          <w:color w:val="auto"/>
          <w:spacing w:val="-4"/>
          <w:sz w:val="32"/>
          <w:szCs w:val="32"/>
          <w:lang w:val="en-US" w:eastAsia="zh-CN"/>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w:t>
      </w:r>
      <w:r>
        <w:rPr>
          <w:rStyle w:val="18"/>
          <w:rFonts w:hint="eastAsia" w:ascii="仿宋" w:hAnsi="仿宋" w:eastAsia="仿宋"/>
          <w:b w:val="0"/>
          <w:color w:val="auto"/>
          <w:spacing w:val="-4"/>
          <w:sz w:val="32"/>
          <w:szCs w:val="32"/>
        </w:rPr>
        <w:t>项目</w:t>
      </w:r>
      <w:r>
        <w:rPr>
          <w:rFonts w:hint="eastAsia" w:ascii="仿宋" w:hAnsi="仿宋" w:eastAsia="仿宋"/>
          <w:bCs/>
          <w:color w:val="auto"/>
          <w:spacing w:val="-4"/>
          <w:sz w:val="32"/>
          <w:szCs w:val="32"/>
        </w:rPr>
        <w:t>性质为</w:t>
      </w:r>
      <w:r>
        <w:rPr>
          <w:rFonts w:hint="eastAsia" w:ascii="仿宋" w:hAnsi="仿宋" w:eastAsia="仿宋"/>
          <w:bCs/>
          <w:color w:val="auto"/>
          <w:spacing w:val="-4"/>
          <w:sz w:val="32"/>
          <w:szCs w:val="32"/>
          <w:lang w:val="en-US" w:eastAsia="zh-CN"/>
        </w:rPr>
        <w:t>持续项目</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rPr>
      </w:pPr>
      <w:r>
        <w:rPr>
          <w:rStyle w:val="18"/>
          <w:rFonts w:hint="eastAsia" w:ascii="仿宋" w:hAnsi="仿宋" w:eastAsia="仿宋"/>
          <w:b w:val="0"/>
          <w:color w:val="auto"/>
          <w:spacing w:val="-4"/>
          <w:sz w:val="32"/>
          <w:szCs w:val="32"/>
          <w:lang w:val="en-US" w:eastAsia="zh-CN"/>
        </w:rPr>
        <w:t>英吉沙县乌恰镇残疾人资金为乡政府社会福利项目，主要保证了全乡残疾人享受政府各项补助及关爱，受益范围为全乡符合条件的残疾人。</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英吉沙县乌恰镇残疾人专项资金为乡政府社会福利项目，预算安排总额为4.35万元，其中财政资金4.35万元，自筹资金0万元，2018年实际收到预算资金4.35万元。</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w:t>
      </w:r>
      <w:r>
        <w:rPr>
          <w:rFonts w:hint="eastAsia" w:ascii="仿宋" w:hAnsi="仿宋" w:eastAsia="仿宋"/>
          <w:bCs/>
          <w:color w:val="auto"/>
          <w:spacing w:val="-4"/>
          <w:sz w:val="32"/>
          <w:szCs w:val="32"/>
          <w:lang w:val="en-US" w:eastAsia="zh-CN"/>
        </w:rPr>
        <w:t>已支付资金</w:t>
      </w:r>
      <w:r>
        <w:rPr>
          <w:rStyle w:val="18"/>
          <w:rFonts w:hint="eastAsia" w:ascii="仿宋" w:hAnsi="仿宋" w:eastAsia="仿宋"/>
          <w:b w:val="0"/>
          <w:color w:val="auto"/>
          <w:spacing w:val="-4"/>
          <w:sz w:val="32"/>
          <w:szCs w:val="32"/>
          <w:lang w:val="en-US" w:eastAsia="zh-CN"/>
        </w:rPr>
        <w:t>4.35万元</w:t>
      </w:r>
      <w:r>
        <w:rPr>
          <w:rFonts w:hint="eastAsia" w:ascii="仿宋" w:hAnsi="仿宋" w:eastAsia="仿宋"/>
          <w:bCs/>
          <w:color w:val="auto"/>
          <w:spacing w:val="-4"/>
          <w:sz w:val="32"/>
          <w:szCs w:val="32"/>
          <w:lang w:val="en-US" w:eastAsia="zh-CN"/>
        </w:rPr>
        <w:t>，</w:t>
      </w:r>
      <w:r>
        <w:rPr>
          <w:rFonts w:hint="eastAsia" w:ascii="仿宋" w:hAnsi="仿宋" w:eastAsia="仿宋"/>
          <w:bCs/>
          <w:color w:val="auto"/>
          <w:spacing w:val="-4"/>
          <w:sz w:val="32"/>
          <w:szCs w:val="32"/>
        </w:rPr>
        <w:t>结余资金</w:t>
      </w:r>
      <w:r>
        <w:rPr>
          <w:rFonts w:hint="eastAsia" w:ascii="仿宋" w:hAnsi="仿宋" w:eastAsia="仿宋"/>
          <w:bCs/>
          <w:color w:val="auto"/>
          <w:spacing w:val="-4"/>
          <w:sz w:val="32"/>
          <w:szCs w:val="32"/>
          <w:lang w:val="en-US" w:eastAsia="zh-CN"/>
        </w:rPr>
        <w:t>为0万元</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英吉沙县财政局、英吉沙县乌恰镇人民政府</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w:t>
      </w:r>
      <w:r>
        <w:rPr>
          <w:rStyle w:val="18"/>
          <w:rFonts w:hint="eastAsia" w:ascii="仿宋" w:hAnsi="仿宋" w:eastAsia="仿宋"/>
          <w:b w:val="0"/>
          <w:color w:val="auto"/>
          <w:spacing w:val="-4"/>
          <w:sz w:val="32"/>
          <w:szCs w:val="32"/>
          <w:lang w:val="en-US" w:eastAsia="zh-CN"/>
        </w:rPr>
        <w:t>持续</w:t>
      </w:r>
      <w:r>
        <w:rPr>
          <w:rStyle w:val="18"/>
          <w:rFonts w:hint="eastAsia" w:ascii="仿宋" w:hAnsi="仿宋" w:eastAsia="仿宋"/>
          <w:b w:val="0"/>
          <w:color w:val="auto"/>
          <w:spacing w:val="-4"/>
          <w:sz w:val="32"/>
          <w:szCs w:val="32"/>
        </w:rPr>
        <w:t>项目,</w:t>
      </w:r>
      <w:r>
        <w:rPr>
          <w:rStyle w:val="18"/>
          <w:rFonts w:hint="eastAsia" w:ascii="仿宋" w:hAnsi="仿宋" w:eastAsia="仿宋"/>
          <w:b w:val="0"/>
          <w:color w:val="auto"/>
          <w:spacing w:val="-4"/>
          <w:sz w:val="32"/>
          <w:szCs w:val="32"/>
          <w:lang w:val="en-US" w:eastAsia="zh-CN"/>
        </w:rPr>
        <w:t>由乌恰镇人民政府主管项目</w:t>
      </w:r>
      <w:r>
        <w:rPr>
          <w:rStyle w:val="18"/>
          <w:rFonts w:hint="eastAsia" w:ascii="仿宋" w:hAnsi="仿宋" w:eastAsia="仿宋"/>
          <w:b w:val="0"/>
          <w:color w:val="auto"/>
          <w:spacing w:val="-4"/>
          <w:sz w:val="32"/>
          <w:szCs w:val="32"/>
        </w:rPr>
        <w:t>。实施过程均按照本单位制定的管理制度执行。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为保证项目质量和成本控制，项目实施完成后，由本项目相关人员</w:t>
      </w:r>
      <w:r>
        <w:rPr>
          <w:rStyle w:val="18"/>
          <w:rFonts w:hint="eastAsia" w:ascii="仿宋" w:hAnsi="仿宋" w:eastAsia="仿宋"/>
          <w:b w:val="0"/>
          <w:color w:val="auto"/>
          <w:spacing w:val="-4"/>
          <w:sz w:val="32"/>
          <w:szCs w:val="32"/>
          <w:lang w:val="en-US" w:eastAsia="zh-CN"/>
        </w:rPr>
        <w:t>组织相关专业人员进行</w:t>
      </w:r>
      <w:r>
        <w:rPr>
          <w:rStyle w:val="18"/>
          <w:rFonts w:hint="eastAsia" w:ascii="仿宋" w:hAnsi="仿宋" w:eastAsia="仿宋"/>
          <w:b w:val="0"/>
          <w:color w:val="auto"/>
          <w:spacing w:val="-4"/>
          <w:sz w:val="32"/>
          <w:szCs w:val="32"/>
        </w:rPr>
        <w:t>检查验收，检查验收合格后按合同规定支付款项。</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val="en-US" w:eastAsia="zh-CN"/>
        </w:rPr>
        <w:t>英吉沙县乌恰镇人民政府制定了英吉沙县乌恰镇社会保障资金支出及资金核销管理办法，</w:t>
      </w:r>
      <w:r>
        <w:rPr>
          <w:rFonts w:hint="eastAsia" w:ascii="仿宋" w:hAnsi="仿宋" w:eastAsia="仿宋"/>
          <w:bCs/>
          <w:color w:val="auto"/>
          <w:spacing w:val="-4"/>
          <w:sz w:val="32"/>
          <w:szCs w:val="32"/>
        </w:rPr>
        <w:t>保障项目的顺利实施。项目的实施遵守相关法律法规和业务管理规定，项目资料齐全并及时归档。已建立</w:t>
      </w:r>
      <w:r>
        <w:rPr>
          <w:rFonts w:hint="eastAsia" w:ascii="仿宋" w:hAnsi="仿宋" w:eastAsia="仿宋"/>
          <w:bCs/>
          <w:color w:val="auto"/>
          <w:spacing w:val="-4"/>
          <w:sz w:val="32"/>
          <w:szCs w:val="32"/>
          <w:lang w:val="en-US" w:eastAsia="zh-CN"/>
        </w:rPr>
        <w:t>相关</w:t>
      </w:r>
      <w:r>
        <w:rPr>
          <w:rFonts w:hint="eastAsia" w:ascii="仿宋" w:hAnsi="仿宋" w:eastAsia="仿宋"/>
          <w:bCs/>
          <w:color w:val="auto"/>
          <w:spacing w:val="-4"/>
          <w:sz w:val="32"/>
          <w:szCs w:val="32"/>
        </w:rPr>
        <w:t>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color w:val="auto"/>
        </w:rPr>
      </w:pPr>
      <w:r>
        <w:rPr>
          <w:rStyle w:val="18"/>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000000" w:themeColor="text1"/>
          <w:spacing w:val="-4"/>
          <w:sz w:val="32"/>
          <w:szCs w:val="32"/>
        </w:rPr>
        <w:t>三级指标</w:t>
      </w:r>
      <w:r>
        <w:rPr>
          <w:rFonts w:hint="eastAsia" w:ascii="仿宋" w:hAnsi="仿宋" w:eastAsia="仿宋"/>
          <w:bCs/>
          <w:color w:val="000000" w:themeColor="text1"/>
          <w:spacing w:val="-4"/>
          <w:sz w:val="32"/>
          <w:szCs w:val="32"/>
          <w:lang w:val="en-US" w:eastAsia="zh-CN"/>
        </w:rPr>
        <w:t>9</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，其中</w:t>
      </w:r>
      <w:r>
        <w:rPr>
          <w:rFonts w:ascii="仿宋" w:hAnsi="仿宋" w:eastAsia="仿宋"/>
          <w:bCs/>
          <w:color w:val="000000" w:themeColor="text1"/>
          <w:spacing w:val="-4"/>
          <w:sz w:val="32"/>
          <w:szCs w:val="32"/>
        </w:rPr>
        <w:t>已完成三级指标</w:t>
      </w:r>
      <w:r>
        <w:rPr>
          <w:rFonts w:hint="eastAsia" w:ascii="仿宋" w:hAnsi="仿宋" w:eastAsia="仿宋"/>
          <w:bCs/>
          <w:color w:val="000000" w:themeColor="text1"/>
          <w:spacing w:val="-4"/>
          <w:sz w:val="32"/>
          <w:szCs w:val="32"/>
        </w:rPr>
        <w:t>9</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，指标完成率为100.00%。</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outlineLvl w:val="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暂无。</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根据项目现实施情况，计划下一年度继续申请高龄</w:t>
      </w:r>
      <w:r>
        <w:rPr>
          <w:rStyle w:val="18"/>
          <w:rFonts w:hint="eastAsia" w:ascii="仿宋" w:hAnsi="仿宋" w:eastAsia="仿宋"/>
          <w:b w:val="0"/>
          <w:color w:val="auto"/>
          <w:spacing w:val="-4"/>
          <w:sz w:val="32"/>
          <w:szCs w:val="32"/>
          <w:lang w:val="en-US" w:eastAsia="zh-CN"/>
        </w:rPr>
        <w:t>老人</w:t>
      </w:r>
      <w:r>
        <w:rPr>
          <w:rFonts w:hint="eastAsia" w:ascii="仿宋" w:hAnsi="仿宋" w:eastAsia="仿宋"/>
          <w:bCs/>
          <w:color w:val="auto"/>
          <w:spacing w:val="-4"/>
          <w:sz w:val="32"/>
          <w:szCs w:val="32"/>
          <w:lang w:val="en-US" w:eastAsia="zh-CN"/>
        </w:rPr>
        <w:t>专项资金，以保证全乡五保工作正常开展。</w:t>
      </w:r>
    </w:p>
    <w:p>
      <w:pPr>
        <w:adjustRightInd w:val="0"/>
        <w:snapToGrid w:val="0"/>
        <w:spacing w:line="560" w:lineRule="exact"/>
        <w:ind w:firstLine="627" w:firstLineChars="200"/>
        <w:outlineLvl w:val="0"/>
        <w:rPr>
          <w:rFonts w:hint="eastAsia" w:ascii="仿宋" w:hAnsi="仿宋" w:eastAsia="仿宋"/>
          <w:bCs/>
          <w:color w:val="auto"/>
          <w:spacing w:val="-4"/>
          <w:sz w:val="32"/>
          <w:szCs w:val="32"/>
          <w:lang w:val="en-US" w:eastAsia="zh-CN"/>
        </w:rPr>
      </w:pPr>
      <w:r>
        <w:rPr>
          <w:rFonts w:hint="eastAsia" w:ascii="楷体" w:hAnsi="楷体" w:eastAsia="楷体"/>
          <w:b/>
          <w:color w:val="auto"/>
          <w:spacing w:val="-4"/>
          <w:sz w:val="32"/>
          <w:szCs w:val="32"/>
        </w:rPr>
        <w:t>（二）主要经验及做法、存在问题和建议</w:t>
      </w:r>
    </w:p>
    <w:p>
      <w:pPr>
        <w:numPr>
          <w:ilvl w:val="0"/>
          <w:numId w:val="0"/>
        </w:num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暂无。</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8"/>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英吉沙县乌恰镇</w:t>
      </w:r>
      <w:r>
        <w:rPr>
          <w:rStyle w:val="18"/>
          <w:rFonts w:hint="eastAsia" w:ascii="仿宋" w:hAnsi="仿宋" w:eastAsia="仿宋"/>
          <w:b w:val="0"/>
          <w:color w:val="auto"/>
          <w:spacing w:val="-4"/>
          <w:sz w:val="32"/>
          <w:szCs w:val="32"/>
          <w:lang w:val="en-US" w:eastAsia="zh-CN"/>
        </w:rPr>
        <w:t>残疾人</w:t>
      </w:r>
      <w:r>
        <w:rPr>
          <w:rFonts w:hint="eastAsia" w:ascii="仿宋" w:hAnsi="仿宋" w:eastAsia="仿宋"/>
          <w:color w:val="auto"/>
          <w:spacing w:val="-4"/>
          <w:sz w:val="32"/>
          <w:szCs w:val="32"/>
          <w:lang w:val="en-US" w:eastAsia="zh-CN"/>
        </w:rPr>
        <w:t>专项</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我乡其他民政资金</w:t>
      </w:r>
      <w:r>
        <w:rPr>
          <w:rFonts w:hint="eastAsia" w:ascii="仿宋" w:hAnsi="仿宋" w:eastAsia="仿宋"/>
          <w:color w:val="auto"/>
          <w:spacing w:val="-4"/>
          <w:sz w:val="32"/>
          <w:szCs w:val="32"/>
        </w:rPr>
        <w:t>今后的</w:t>
      </w:r>
      <w:r>
        <w:rPr>
          <w:rFonts w:hint="eastAsia" w:ascii="仿宋" w:hAnsi="仿宋" w:eastAsia="仿宋"/>
          <w:color w:val="auto"/>
          <w:spacing w:val="-4"/>
          <w:sz w:val="32"/>
          <w:szCs w:val="32"/>
          <w:lang w:val="en-US" w:eastAsia="zh-CN"/>
        </w:rPr>
        <w:t>发放</w:t>
      </w:r>
      <w:r>
        <w:rPr>
          <w:rFonts w:hint="eastAsia" w:ascii="仿宋" w:hAnsi="仿宋" w:eastAsia="仿宋"/>
          <w:color w:val="auto"/>
          <w:spacing w:val="-4"/>
          <w:sz w:val="32"/>
          <w:szCs w:val="32"/>
        </w:rPr>
        <w:t>提供参考建议。</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auto"/>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1DEF7E80"/>
    <w:rsid w:val="20240F8F"/>
    <w:rsid w:val="232765D5"/>
    <w:rsid w:val="242551F9"/>
    <w:rsid w:val="277C5B66"/>
    <w:rsid w:val="33BA0F28"/>
    <w:rsid w:val="47A658F7"/>
    <w:rsid w:val="4CD52CF3"/>
    <w:rsid w:val="52A22AB4"/>
    <w:rsid w:val="61693E8A"/>
    <w:rsid w:val="64ED4BAD"/>
    <w:rsid w:val="66D5304B"/>
    <w:rsid w:val="7BCE0029"/>
    <w:rsid w:val="7C0B69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2019-02-01T04:21:02Z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